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ascii="Arial" w:hAnsi="Arial" w:eastAsia="宋体" w:cs="Arial"/>
          <w:b/>
          <w:sz w:val="24"/>
          <w:szCs w:val="24"/>
          <w:lang w:val="en-US" w:eastAsia="zh-CN"/>
        </w:rPr>
        <w:t>3</w:t>
      </w:r>
      <w:r>
        <w:rPr>
          <w:rFonts w:ascii="Arial" w:hAnsi="Arial" w:cs="Arial"/>
          <w:b/>
          <w:sz w:val="24"/>
          <w:szCs w:val="24"/>
        </w:rPr>
        <w:t>-e</w:t>
      </w:r>
      <w:r>
        <w:rPr>
          <w:rFonts w:ascii="Arial" w:hAnsi="Arial" w:cs="Arial"/>
          <w:b/>
          <w:sz w:val="24"/>
          <w:szCs w:val="24"/>
        </w:rPr>
        <w:tab/>
      </w:r>
      <w:r>
        <w:rPr>
          <w:rFonts w:hint="eastAsia" w:ascii="Arial" w:hAnsi="Arial" w:cs="Arial"/>
          <w:b/>
          <w:color w:val="000000"/>
          <w:sz w:val="24"/>
          <w:szCs w:val="24"/>
        </w:rPr>
        <w:t>R4-2208726</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May 09 – May 20,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Positioning measurements in RRC_INACTIVE state</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9.20.1.3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RAN4 102-e, there were discussions on measurement during RRC_INACTIVE period for positioning enhancement. Some of the WF [1] are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5"/>
              <w:rPr>
                <w:lang w:val="en-US"/>
              </w:rPr>
            </w:pPr>
            <w:r>
              <w:rPr>
                <w:lang w:val="en-US"/>
              </w:rPr>
              <w:t>Issue 2-4-1 Whether to support the reduced number of samples in RRC_INACTIVE state</w:t>
            </w:r>
          </w:p>
          <w:p>
            <w:pPr>
              <w:rPr>
                <w:rFonts w:eastAsiaTheme="minorEastAsia"/>
                <w:i/>
                <w:lang w:val="en-US" w:eastAsia="zh-CN"/>
              </w:rPr>
            </w:pPr>
            <w:r>
              <w:rPr>
                <w:rFonts w:hint="eastAsia" w:eastAsiaTheme="minorEastAsia"/>
                <w:i/>
                <w:lang w:val="en-US" w:eastAsia="zh-CN"/>
              </w:rPr>
              <w:t xml:space="preserve">Agreements: </w:t>
            </w:r>
          </w:p>
          <w:p>
            <w:pPr>
              <w:pStyle w:val="25"/>
              <w:numPr>
                <w:ilvl w:val="0"/>
                <w:numId w:val="6"/>
              </w:numPr>
              <w:overflowPunct/>
              <w:autoSpaceDE/>
              <w:autoSpaceDN/>
              <w:adjustRightInd/>
              <w:spacing w:after="120" w:line="240" w:lineRule="auto"/>
              <w:ind w:firstLineChars="0"/>
              <w:textAlignment w:val="auto"/>
              <w:rPr>
                <w:rFonts w:eastAsia="宋体"/>
                <w:szCs w:val="24"/>
                <w:lang w:eastAsia="zh-CN"/>
              </w:rPr>
            </w:pPr>
            <w:r>
              <w:rPr>
                <w:rFonts w:hint="eastAsia" w:eastAsia="宋体"/>
                <w:szCs w:val="24"/>
                <w:lang w:eastAsia="zh-CN"/>
              </w:rPr>
              <w:t>S</w:t>
            </w:r>
            <w:r>
              <w:rPr>
                <w:rFonts w:eastAsia="宋体"/>
                <w:szCs w:val="24"/>
                <w:lang w:eastAsia="zh-CN"/>
              </w:rPr>
              <w:t xml:space="preserve">upport </w:t>
            </w:r>
            <w:r>
              <w:rPr>
                <w:rFonts w:hint="eastAsia" w:eastAsia="宋体"/>
                <w:szCs w:val="24"/>
                <w:lang w:eastAsia="zh-CN"/>
              </w:rPr>
              <w:t xml:space="preserve">of </w:t>
            </w:r>
            <w:r>
              <w:rPr>
                <w:rFonts w:eastAsia="宋体"/>
                <w:szCs w:val="24"/>
                <w:lang w:eastAsia="zh-CN"/>
              </w:rPr>
              <w:t>the reduced number of samples in RRC_INACTIVE state</w:t>
            </w:r>
            <w:r>
              <w:rPr>
                <w:rFonts w:hint="eastAsia" w:eastAsia="宋体"/>
                <w:szCs w:val="24"/>
                <w:lang w:eastAsia="zh-CN"/>
              </w:rPr>
              <w:t xml:space="preserve"> is UE capability</w:t>
            </w:r>
          </w:p>
          <w:p>
            <w:pPr>
              <w:pStyle w:val="25"/>
              <w:numPr>
                <w:ilvl w:val="1"/>
                <w:numId w:val="6"/>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T</w:t>
            </w:r>
            <w:r>
              <w:rPr>
                <w:rFonts w:hint="eastAsia" w:eastAsia="宋体"/>
                <w:szCs w:val="24"/>
                <w:lang w:eastAsia="zh-CN"/>
              </w:rPr>
              <w:t xml:space="preserve">he UE capability is under discussion in RAN1, and wait for RAN1 agreement. </w:t>
            </w:r>
          </w:p>
          <w:p>
            <w:pPr>
              <w:pStyle w:val="25"/>
              <w:numPr>
                <w:ilvl w:val="0"/>
                <w:numId w:val="6"/>
              </w:numPr>
              <w:overflowPunct/>
              <w:autoSpaceDE/>
              <w:autoSpaceDN/>
              <w:adjustRightInd/>
              <w:spacing w:after="120" w:line="240" w:lineRule="auto"/>
              <w:ind w:firstLineChars="0"/>
              <w:textAlignment w:val="auto"/>
              <w:rPr>
                <w:rFonts w:eastAsia="宋体"/>
                <w:szCs w:val="24"/>
                <w:lang w:eastAsia="zh-CN"/>
              </w:rPr>
            </w:pPr>
            <w:r>
              <w:rPr>
                <w:rFonts w:eastAsiaTheme="minorEastAsia"/>
                <w:lang w:val="en-US" w:eastAsia="zh-CN"/>
              </w:rPr>
              <w:t xml:space="preserve">PRS measurement requirements with reduced number of samples </w:t>
            </w:r>
            <w:r>
              <w:rPr>
                <w:rFonts w:hint="eastAsia" w:eastAsiaTheme="minorEastAsia"/>
                <w:lang w:val="en-US" w:eastAsia="zh-CN"/>
              </w:rPr>
              <w:t xml:space="preserve">in RRC_INACTIVE state </w:t>
            </w:r>
            <w:r>
              <w:rPr>
                <w:rFonts w:eastAsiaTheme="minorEastAsia"/>
                <w:lang w:val="en-US" w:eastAsia="zh-CN"/>
              </w:rPr>
              <w:t>are applicable only for UE which supports PRS measurements with reduced number of samples</w:t>
            </w:r>
            <w:r>
              <w:rPr>
                <w:rFonts w:hint="eastAsia" w:eastAsiaTheme="minorEastAsia"/>
                <w:lang w:val="en-US" w:eastAsia="zh-CN"/>
              </w:rPr>
              <w:t>.</w:t>
            </w:r>
          </w:p>
          <w:p>
            <w:pPr>
              <w:pStyle w:val="25"/>
              <w:numPr>
                <w:ilvl w:val="0"/>
                <w:numId w:val="6"/>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 xml:space="preserve">The requirements with reduced sample number are applicable when </w:t>
            </w:r>
            <w:r>
              <w:rPr>
                <w:rFonts w:hint="eastAsia" w:eastAsia="宋体"/>
                <w:szCs w:val="24"/>
                <w:lang w:eastAsia="zh-CN"/>
              </w:rPr>
              <w:t xml:space="preserve">UE </w:t>
            </w:r>
            <w:r>
              <w:rPr>
                <w:rFonts w:eastAsia="宋体"/>
                <w:szCs w:val="24"/>
                <w:lang w:eastAsia="zh-CN"/>
              </w:rPr>
              <w:t>is requested by LMF to perform measurement with reduced sample number</w:t>
            </w:r>
            <w:r>
              <w:rPr>
                <w:rFonts w:hint="eastAsia" w:eastAsia="宋体"/>
                <w:szCs w:val="24"/>
                <w:lang w:eastAsia="zh-CN"/>
              </w:rPr>
              <w:t>.</w:t>
            </w:r>
          </w:p>
          <w:p>
            <w:pPr>
              <w:pStyle w:val="25"/>
              <w:numPr>
                <w:ilvl w:val="0"/>
                <w:numId w:val="6"/>
              </w:numPr>
              <w:overflowPunct/>
              <w:autoSpaceDE/>
              <w:autoSpaceDN/>
              <w:adjustRightInd/>
              <w:spacing w:after="120" w:line="240" w:lineRule="auto"/>
              <w:ind w:firstLineChars="0"/>
              <w:textAlignment w:val="auto"/>
              <w:rPr>
                <w:rFonts w:hint="eastAsia"/>
                <w:lang w:val="en-US" w:eastAsia="zh-CN"/>
              </w:rPr>
            </w:pPr>
            <w:r>
              <w:rPr>
                <w:rFonts w:hint="eastAsia" w:eastAsia="宋体"/>
                <w:szCs w:val="24"/>
                <w:lang w:eastAsia="zh-CN"/>
              </w:rPr>
              <w:t xml:space="preserve">FFS: </w:t>
            </w:r>
            <w:r>
              <w:rPr>
                <w:rFonts w:eastAsia="宋体"/>
                <w:szCs w:val="24"/>
                <w:lang w:eastAsia="zh-CN"/>
              </w:rPr>
              <w:t>PRS measurement requirements with reduced number of samples in RRC_INACTIVE are defined under the same side conditions as agreed for RRC CONNECTED state.</w:t>
            </w:r>
          </w:p>
          <w:p>
            <w:pPr>
              <w:pStyle w:val="25"/>
              <w:numPr>
                <w:ilvl w:val="0"/>
                <w:numId w:val="0"/>
              </w:numPr>
              <w:overflowPunct/>
              <w:autoSpaceDE/>
              <w:autoSpaceDN/>
              <w:adjustRightInd/>
              <w:spacing w:after="120" w:line="240" w:lineRule="auto"/>
              <w:contextualSpacing/>
              <w:textAlignment w:val="auto"/>
              <w:rPr>
                <w:rFonts w:eastAsia="宋体"/>
                <w:szCs w:val="24"/>
                <w:lang w:eastAsia="zh-CN"/>
              </w:rPr>
            </w:pPr>
          </w:p>
          <w:p>
            <w:pPr>
              <w:pStyle w:val="25"/>
              <w:numPr>
                <w:ilvl w:val="0"/>
                <w:numId w:val="7"/>
              </w:numPr>
              <w:overflowPunct/>
              <w:autoSpaceDE/>
              <w:autoSpaceDN/>
              <w:adjustRightInd/>
              <w:spacing w:after="120" w:line="252" w:lineRule="auto"/>
              <w:ind w:left="644" w:firstLineChars="0"/>
              <w:textAlignment w:val="auto"/>
              <w:rPr>
                <w:highlight w:val="green"/>
                <w:lang w:eastAsia="ja-JP"/>
              </w:rPr>
            </w:pPr>
            <w:r>
              <w:rPr>
                <w:highlight w:val="green"/>
                <w:lang w:eastAsia="ja-JP"/>
              </w:rPr>
              <w:t>Agreements</w:t>
            </w:r>
          </w:p>
          <w:p>
            <w:pPr>
              <w:pStyle w:val="25"/>
              <w:numPr>
                <w:ilvl w:val="1"/>
                <w:numId w:val="7"/>
              </w:numPr>
              <w:overflowPunct/>
              <w:autoSpaceDE/>
              <w:autoSpaceDN/>
              <w:adjustRightInd/>
              <w:spacing w:after="120" w:line="252" w:lineRule="auto"/>
              <w:ind w:left="1080" w:firstLineChars="0"/>
              <w:textAlignment w:val="auto"/>
              <w:rPr>
                <w:bCs/>
                <w:highlight w:val="green"/>
              </w:rPr>
            </w:pPr>
            <w:r>
              <w:rPr>
                <w:bCs/>
                <w:highlight w:val="green"/>
              </w:rPr>
              <w:t>Additional samples for AGC for PRS measurements are not required in case at least one of the following conditions is met</w:t>
            </w:r>
          </w:p>
          <w:p>
            <w:pPr>
              <w:pStyle w:val="25"/>
              <w:numPr>
                <w:ilvl w:val="2"/>
                <w:numId w:val="7"/>
              </w:numPr>
              <w:overflowPunct/>
              <w:autoSpaceDE/>
              <w:autoSpaceDN/>
              <w:adjustRightInd/>
              <w:spacing w:after="120" w:line="252" w:lineRule="auto"/>
              <w:ind w:left="1800" w:firstLineChars="0"/>
              <w:textAlignment w:val="auto"/>
              <w:rPr>
                <w:bCs/>
                <w:highlight w:val="green"/>
              </w:rPr>
            </w:pPr>
            <w:r>
              <w:rPr>
                <w:bCs/>
                <w:highlight w:val="green"/>
              </w:rPr>
              <w:t xml:space="preserve">Condition #1: </w:t>
            </w:r>
          </w:p>
          <w:p>
            <w:pPr>
              <w:pStyle w:val="25"/>
              <w:numPr>
                <w:ilvl w:val="3"/>
                <w:numId w:val="7"/>
              </w:numPr>
              <w:overflowPunct/>
              <w:autoSpaceDE/>
              <w:autoSpaceDN/>
              <w:adjustRightInd/>
              <w:spacing w:after="120" w:line="252" w:lineRule="auto"/>
              <w:ind w:left="2520" w:firstLineChars="0"/>
              <w:textAlignment w:val="auto"/>
              <w:rPr>
                <w:bCs/>
                <w:highlight w:val="green"/>
              </w:rPr>
            </w:pPr>
            <w:r>
              <w:rPr>
                <w:bCs/>
                <w:highlight w:val="green"/>
              </w:rPr>
              <w:t xml:space="preserve">PRS bandwidth is within the active BWP and </w:t>
            </w:r>
          </w:p>
          <w:p>
            <w:pPr>
              <w:pStyle w:val="25"/>
              <w:numPr>
                <w:ilvl w:val="3"/>
                <w:numId w:val="7"/>
              </w:numPr>
              <w:overflowPunct/>
              <w:autoSpaceDE/>
              <w:autoSpaceDN/>
              <w:adjustRightInd/>
              <w:spacing w:after="120" w:line="252" w:lineRule="auto"/>
              <w:ind w:left="2520" w:firstLineChars="0"/>
              <w:textAlignment w:val="auto"/>
              <w:rPr>
                <w:bCs/>
                <w:highlight w:val="green"/>
              </w:rPr>
            </w:pPr>
            <w:r>
              <w:rPr>
                <w:highlight w:val="green"/>
                <w:lang w:val="en-US"/>
              </w:rPr>
              <w:t>Difference between the serving cell SS-RSRP and neighbor cell/TRP PRS-RSRP is within</w:t>
            </w:r>
            <w:r>
              <w:rPr>
                <w:bCs/>
                <w:highlight w:val="green"/>
              </w:rPr>
              <w:t xml:space="preserve"> [6] dB</w:t>
            </w:r>
          </w:p>
          <w:p>
            <w:pPr>
              <w:pStyle w:val="25"/>
              <w:numPr>
                <w:ilvl w:val="0"/>
                <w:numId w:val="0"/>
              </w:numPr>
              <w:overflowPunct/>
              <w:autoSpaceDE/>
              <w:autoSpaceDN/>
              <w:adjustRightInd/>
              <w:spacing w:after="120" w:line="240" w:lineRule="auto"/>
              <w:contextualSpacing/>
              <w:textAlignment w:val="auto"/>
              <w:rPr>
                <w:rFonts w:hint="eastAsia" w:eastAsia="宋体"/>
                <w:szCs w:val="24"/>
                <w:lang w:val="en-US" w:eastAsia="zh-CN"/>
              </w:rPr>
            </w:pP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 on the other related issues.</w:t>
      </w:r>
    </w:p>
    <w:p>
      <w:pPr>
        <w:pStyle w:val="27"/>
        <w:jc w:val="both"/>
        <w:rPr>
          <w:rFonts w:hint="default" w:eastAsia="宋体"/>
          <w:lang w:val="en-US" w:eastAsia="zh-CN"/>
        </w:rPr>
      </w:pPr>
      <w:r>
        <w:t>2</w:t>
      </w:r>
      <w:r>
        <w:tab/>
      </w:r>
      <w:r>
        <w:rPr>
          <w:rFonts w:hint="eastAsia"/>
          <w:lang w:val="en-US" w:eastAsia="zh-CN"/>
        </w:rPr>
        <w:t>Discussions</w:t>
      </w:r>
    </w:p>
    <w:p>
      <w:pPr>
        <w:pStyle w:val="35"/>
        <w:numPr>
          <w:ilvl w:val="0"/>
          <w:numId w:val="0"/>
        </w:numPr>
        <w:ind w:leftChars="0"/>
        <w:rPr>
          <w:rFonts w:hint="eastAsia"/>
          <w:b w:val="0"/>
          <w:bCs/>
          <w:sz w:val="22"/>
          <w:szCs w:val="22"/>
          <w:lang w:val="en-US" w:eastAsia="zh-CN"/>
        </w:rPr>
      </w:pPr>
      <w:r>
        <w:rPr>
          <w:rFonts w:hint="eastAsia"/>
          <w:b/>
          <w:bCs w:val="0"/>
          <w:sz w:val="22"/>
          <w:szCs w:val="22"/>
          <w:u w:val="single"/>
          <w:lang w:val="en-US" w:eastAsia="zh-CN"/>
        </w:rPr>
        <w:t>Whether to support the reduced number of samples in RRC_INACTIVE state</w:t>
      </w:r>
    </w:p>
    <w:p>
      <w:pPr>
        <w:pStyle w:val="35"/>
        <w:numPr>
          <w:ilvl w:val="0"/>
          <w:numId w:val="0"/>
        </w:numPr>
        <w:ind w:leftChars="0"/>
        <w:rPr>
          <w:rFonts w:hint="eastAsia"/>
          <w:b w:val="0"/>
          <w:bCs/>
          <w:sz w:val="22"/>
          <w:szCs w:val="22"/>
          <w:lang w:val="en-US" w:eastAsia="zh-CN"/>
        </w:rPr>
      </w:pPr>
      <w:r>
        <w:rPr>
          <w:rFonts w:hint="eastAsia"/>
          <w:b w:val="0"/>
          <w:bCs/>
          <w:sz w:val="22"/>
          <w:szCs w:val="22"/>
          <w:lang w:val="en-US" w:eastAsia="zh-CN"/>
        </w:rPr>
        <w:t>The issue here is that the reduced samples are meant to support a shorter delay for the positioning measurements for UEs when AGC is not necessary, and thus, we think that there is not much difference between UEs under CONNECTED mode and UEs in INACTIVE mode.  However, one detail to be determined is that for RRC_INACTIVE mode, there is no concept of active BWP, and thus, the side condition cannot be directly re-used from CONNECTED mode to INACTIVE mode.</w:t>
      </w:r>
    </w:p>
    <w:p>
      <w:pPr>
        <w:rPr>
          <w:rFonts w:hint="default"/>
          <w:lang w:val="en-US" w:eastAsia="zh-CN"/>
        </w:rPr>
      </w:pPr>
      <w:r>
        <w:rPr>
          <w:rFonts w:hint="eastAsia"/>
          <w:b w:val="0"/>
          <w:bCs/>
          <w:sz w:val="22"/>
          <w:szCs w:val="22"/>
          <w:lang w:val="en-US" w:eastAsia="zh-CN"/>
        </w:rPr>
        <w:t>We think that the side condition can be slightly altered by removing the condition on the PRS bandwidth and active BWP, leaving only the condition on the power difference of SS-RSRP between serving cell and neighbor cell.</w:t>
      </w:r>
    </w:p>
    <w:p>
      <w:pPr>
        <w:pStyle w:val="35"/>
        <w:rPr>
          <w:rFonts w:hint="default" w:eastAsia="宋体"/>
          <w:sz w:val="22"/>
          <w:szCs w:val="22"/>
          <w:lang w:val="en-US" w:eastAsia="zh-CN"/>
        </w:rPr>
      </w:pPr>
      <w:r>
        <w:rPr>
          <w:rFonts w:eastAsia="宋体"/>
          <w:szCs w:val="24"/>
          <w:lang w:eastAsia="zh-CN"/>
        </w:rPr>
        <w:t xml:space="preserve">PRS measurement requirements with reduced number of samples in RRC_INACTIVE are defined under the side conditions </w:t>
      </w:r>
      <w:r>
        <w:rPr>
          <w:rFonts w:hint="eastAsia" w:eastAsia="宋体"/>
          <w:szCs w:val="24"/>
          <w:lang w:val="en-US" w:eastAsia="zh-CN"/>
        </w:rPr>
        <w:t>that: Difference between the serving cell SS-RSRP and neighbor cell/TRP PRS-RSRP is within [6] dB.</w:t>
      </w:r>
      <w:r>
        <w:rPr>
          <w:rFonts w:hint="eastAsia"/>
          <w:b/>
          <w:bCs w:val="0"/>
          <w:sz w:val="22"/>
          <w:szCs w:val="22"/>
          <w:lang w:val="en-US" w:eastAsia="zh-CN"/>
        </w:rPr>
        <w:t xml:space="preserve"> </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Proposal 1: PRS measurement requirements with reduced number of samples in RRC_INACTIVE are defined under the side conditions that: Difference between the serving cell SS-RSRP and neighbor cell/TRP PRS-RSRP is within [6] dB.</w:t>
      </w:r>
    </w:p>
    <w:p>
      <w:pPr>
        <w:pStyle w:val="27"/>
        <w:jc w:val="both"/>
      </w:pPr>
      <w:r>
        <w:t>References</w:t>
      </w:r>
    </w:p>
    <w:p>
      <w:pPr>
        <w:numPr>
          <w:ilvl w:val="0"/>
          <w:numId w:val="8"/>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R4-2206997</w:t>
      </w:r>
    </w:p>
    <w:p>
      <w:pPr>
        <w:numPr>
          <w:ilvl w:val="0"/>
          <w:numId w:val="8"/>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7267C66"/>
    <w:multiLevelType w:val="multilevel"/>
    <w:tmpl w:val="67267C66"/>
    <w:lvl w:ilvl="0" w:tentative="0">
      <w:start w:val="1"/>
      <w:numFmt w:val="bullet"/>
      <w:lvlText w:val=""/>
      <w:lvlJc w:val="left"/>
      <w:pPr>
        <w:ind w:left="-208" w:hanging="360"/>
      </w:pPr>
      <w:rPr>
        <w:rFonts w:hint="default" w:ascii="Symbol" w:hAnsi="Symbol"/>
      </w:rPr>
    </w:lvl>
    <w:lvl w:ilvl="1" w:tentative="0">
      <w:start w:val="1"/>
      <w:numFmt w:val="bullet"/>
      <w:lvlText w:val="o"/>
      <w:lvlJc w:val="left"/>
      <w:pPr>
        <w:ind w:left="512" w:hanging="360"/>
      </w:pPr>
      <w:rPr>
        <w:rFonts w:hint="default" w:ascii="Courier New" w:hAnsi="Courier New" w:cs="Courier New"/>
      </w:rPr>
    </w:lvl>
    <w:lvl w:ilvl="2" w:tentative="0">
      <w:start w:val="1"/>
      <w:numFmt w:val="bullet"/>
      <w:lvlText w:val=""/>
      <w:lvlJc w:val="left"/>
      <w:pPr>
        <w:ind w:left="1232" w:hanging="360"/>
      </w:pPr>
      <w:rPr>
        <w:rFonts w:hint="default" w:ascii="Wingdings" w:hAnsi="Wingdings"/>
      </w:rPr>
    </w:lvl>
    <w:lvl w:ilvl="3" w:tentative="0">
      <w:start w:val="1"/>
      <w:numFmt w:val="bullet"/>
      <w:lvlText w:val=""/>
      <w:lvlJc w:val="left"/>
      <w:pPr>
        <w:ind w:left="1952" w:hanging="360"/>
      </w:pPr>
      <w:rPr>
        <w:rFonts w:hint="default" w:ascii="Symbol" w:hAnsi="Symbol"/>
      </w:rPr>
    </w:lvl>
    <w:lvl w:ilvl="4" w:tentative="0">
      <w:start w:val="1"/>
      <w:numFmt w:val="bullet"/>
      <w:lvlText w:val="o"/>
      <w:lvlJc w:val="left"/>
      <w:pPr>
        <w:ind w:left="2672" w:hanging="360"/>
      </w:pPr>
      <w:rPr>
        <w:rFonts w:hint="default" w:ascii="Courier New" w:hAnsi="Courier New" w:cs="Courier New"/>
      </w:rPr>
    </w:lvl>
    <w:lvl w:ilvl="5" w:tentative="0">
      <w:start w:val="1"/>
      <w:numFmt w:val="bullet"/>
      <w:lvlText w:val=""/>
      <w:lvlJc w:val="left"/>
      <w:pPr>
        <w:ind w:left="3392" w:hanging="360"/>
      </w:pPr>
      <w:rPr>
        <w:rFonts w:hint="default" w:ascii="Wingdings" w:hAnsi="Wingdings"/>
      </w:rPr>
    </w:lvl>
    <w:lvl w:ilvl="6" w:tentative="0">
      <w:start w:val="1"/>
      <w:numFmt w:val="bullet"/>
      <w:lvlText w:val=""/>
      <w:lvlJc w:val="left"/>
      <w:pPr>
        <w:ind w:left="4112" w:hanging="360"/>
      </w:pPr>
      <w:rPr>
        <w:rFonts w:hint="default" w:ascii="Symbol" w:hAnsi="Symbol"/>
      </w:rPr>
    </w:lvl>
    <w:lvl w:ilvl="7" w:tentative="0">
      <w:start w:val="1"/>
      <w:numFmt w:val="bullet"/>
      <w:lvlText w:val="o"/>
      <w:lvlJc w:val="left"/>
      <w:pPr>
        <w:ind w:left="4832" w:hanging="360"/>
      </w:pPr>
      <w:rPr>
        <w:rFonts w:hint="default" w:ascii="Courier New" w:hAnsi="Courier New" w:cs="Courier New"/>
      </w:rPr>
    </w:lvl>
    <w:lvl w:ilvl="8" w:tentative="0">
      <w:start w:val="1"/>
      <w:numFmt w:val="bullet"/>
      <w:lvlText w:val=""/>
      <w:lvlJc w:val="left"/>
      <w:pPr>
        <w:ind w:left="5552" w:hanging="360"/>
      </w:pPr>
      <w:rPr>
        <w:rFonts w:hint="default" w:ascii="Wingdings" w:hAnsi="Wingdings"/>
      </w:rPr>
    </w:lvl>
  </w:abstractNum>
  <w:abstractNum w:abstractNumId="7">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7"/>
  </w:num>
  <w:num w:numId="5">
    <w:abstractNumId w:val="4"/>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452C"/>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6B1F2F"/>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27784E"/>
    <w:rsid w:val="08641205"/>
    <w:rsid w:val="0868025F"/>
    <w:rsid w:val="0873226E"/>
    <w:rsid w:val="08935729"/>
    <w:rsid w:val="08C654D4"/>
    <w:rsid w:val="08CC5D10"/>
    <w:rsid w:val="092C45E6"/>
    <w:rsid w:val="099F556C"/>
    <w:rsid w:val="09AC0546"/>
    <w:rsid w:val="09C640C3"/>
    <w:rsid w:val="0A5763D4"/>
    <w:rsid w:val="0A7BF868"/>
    <w:rsid w:val="0A866E62"/>
    <w:rsid w:val="0A9573F8"/>
    <w:rsid w:val="0B0E3CBB"/>
    <w:rsid w:val="0B7322DC"/>
    <w:rsid w:val="0B73279C"/>
    <w:rsid w:val="0B82063E"/>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38212F"/>
    <w:rsid w:val="18407C50"/>
    <w:rsid w:val="1872258F"/>
    <w:rsid w:val="18D3414F"/>
    <w:rsid w:val="18D91924"/>
    <w:rsid w:val="194132DA"/>
    <w:rsid w:val="19566969"/>
    <w:rsid w:val="195A003F"/>
    <w:rsid w:val="19831412"/>
    <w:rsid w:val="199B5421"/>
    <w:rsid w:val="19A96435"/>
    <w:rsid w:val="19E43A3D"/>
    <w:rsid w:val="1A0B3A21"/>
    <w:rsid w:val="1A352FE3"/>
    <w:rsid w:val="1A540632"/>
    <w:rsid w:val="1B3329B5"/>
    <w:rsid w:val="1B595D85"/>
    <w:rsid w:val="1B7F155B"/>
    <w:rsid w:val="1BAE2A00"/>
    <w:rsid w:val="1C525206"/>
    <w:rsid w:val="1C5E2F54"/>
    <w:rsid w:val="1CA0799D"/>
    <w:rsid w:val="1CB80D82"/>
    <w:rsid w:val="1CDA242C"/>
    <w:rsid w:val="1CFB2AC1"/>
    <w:rsid w:val="1D134EED"/>
    <w:rsid w:val="1D1F1294"/>
    <w:rsid w:val="1D2062CF"/>
    <w:rsid w:val="1D85535E"/>
    <w:rsid w:val="1DB41841"/>
    <w:rsid w:val="1DE45821"/>
    <w:rsid w:val="1DF64986"/>
    <w:rsid w:val="1E8806BC"/>
    <w:rsid w:val="1EA137E3"/>
    <w:rsid w:val="1EC97F44"/>
    <w:rsid w:val="1ED017C2"/>
    <w:rsid w:val="1EFE118E"/>
    <w:rsid w:val="1F0936F5"/>
    <w:rsid w:val="1F17474D"/>
    <w:rsid w:val="1F2B10F9"/>
    <w:rsid w:val="1F711839"/>
    <w:rsid w:val="1F8A172B"/>
    <w:rsid w:val="1FA564C4"/>
    <w:rsid w:val="1FBF3FCE"/>
    <w:rsid w:val="200D067C"/>
    <w:rsid w:val="20811B82"/>
    <w:rsid w:val="20A662B2"/>
    <w:rsid w:val="20D958F0"/>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855295"/>
    <w:rsid w:val="238F59E1"/>
    <w:rsid w:val="23B20773"/>
    <w:rsid w:val="23CF6D67"/>
    <w:rsid w:val="23FF1EED"/>
    <w:rsid w:val="24207862"/>
    <w:rsid w:val="248F188B"/>
    <w:rsid w:val="24BD0518"/>
    <w:rsid w:val="24E91488"/>
    <w:rsid w:val="25077EC5"/>
    <w:rsid w:val="256A021C"/>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4E7B8D"/>
    <w:rsid w:val="2C580800"/>
    <w:rsid w:val="2CEE6B8D"/>
    <w:rsid w:val="2CF93A32"/>
    <w:rsid w:val="2D233DAE"/>
    <w:rsid w:val="2D8E403A"/>
    <w:rsid w:val="2DF9626C"/>
    <w:rsid w:val="2E145F76"/>
    <w:rsid w:val="2E7A77C9"/>
    <w:rsid w:val="2EA56390"/>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9C056D"/>
    <w:rsid w:val="34D83C16"/>
    <w:rsid w:val="34F42A3D"/>
    <w:rsid w:val="3509315E"/>
    <w:rsid w:val="351078D1"/>
    <w:rsid w:val="351A4CC6"/>
    <w:rsid w:val="355F30F6"/>
    <w:rsid w:val="363F5D54"/>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3A4629"/>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EB2BEA"/>
    <w:rsid w:val="46FC7DAE"/>
    <w:rsid w:val="472E2640"/>
    <w:rsid w:val="475A0158"/>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B95D0C"/>
    <w:rsid w:val="4BCE1489"/>
    <w:rsid w:val="4BEA1EE4"/>
    <w:rsid w:val="4C293566"/>
    <w:rsid w:val="4C4E4313"/>
    <w:rsid w:val="4C553BEB"/>
    <w:rsid w:val="4C723787"/>
    <w:rsid w:val="4C783FE1"/>
    <w:rsid w:val="4CF05EAC"/>
    <w:rsid w:val="4D102CB4"/>
    <w:rsid w:val="4D9E609E"/>
    <w:rsid w:val="4E0243C8"/>
    <w:rsid w:val="4E114BF9"/>
    <w:rsid w:val="4E345636"/>
    <w:rsid w:val="4E6139A5"/>
    <w:rsid w:val="4E652C5C"/>
    <w:rsid w:val="4E9105E7"/>
    <w:rsid w:val="4EB053BD"/>
    <w:rsid w:val="4EE443B3"/>
    <w:rsid w:val="4FBC6FAF"/>
    <w:rsid w:val="4FDC68F3"/>
    <w:rsid w:val="4FEA1837"/>
    <w:rsid w:val="4FFF46BE"/>
    <w:rsid w:val="50005DA1"/>
    <w:rsid w:val="5041435B"/>
    <w:rsid w:val="50564CCA"/>
    <w:rsid w:val="505A1CB0"/>
    <w:rsid w:val="5090049B"/>
    <w:rsid w:val="509778C7"/>
    <w:rsid w:val="50CF26BC"/>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BA4C1F"/>
    <w:rsid w:val="65C64C37"/>
    <w:rsid w:val="65D01190"/>
    <w:rsid w:val="65EB74A3"/>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B9A1C3B"/>
    <w:rsid w:val="6C42065A"/>
    <w:rsid w:val="6C6F44FD"/>
    <w:rsid w:val="6C9E7796"/>
    <w:rsid w:val="6CB759F8"/>
    <w:rsid w:val="6CD4731D"/>
    <w:rsid w:val="6D0E374B"/>
    <w:rsid w:val="6D121910"/>
    <w:rsid w:val="6D3205F0"/>
    <w:rsid w:val="6D4C048E"/>
    <w:rsid w:val="6D5301B7"/>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37F22"/>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3C1C83"/>
    <w:rsid w:val="754C1AAF"/>
    <w:rsid w:val="75C065CF"/>
    <w:rsid w:val="762B3711"/>
    <w:rsid w:val="76696B17"/>
    <w:rsid w:val="76696D01"/>
    <w:rsid w:val="76844850"/>
    <w:rsid w:val="76991F3B"/>
    <w:rsid w:val="76B94BAA"/>
    <w:rsid w:val="76BD4E1F"/>
    <w:rsid w:val="76D8737F"/>
    <w:rsid w:val="76E279D7"/>
    <w:rsid w:val="76E55298"/>
    <w:rsid w:val="770A0974"/>
    <w:rsid w:val="7718204C"/>
    <w:rsid w:val="772E0626"/>
    <w:rsid w:val="7752184A"/>
    <w:rsid w:val="7754709D"/>
    <w:rsid w:val="776E285A"/>
    <w:rsid w:val="77B02D8D"/>
    <w:rsid w:val="77B23404"/>
    <w:rsid w:val="77C0093D"/>
    <w:rsid w:val="77C90B9C"/>
    <w:rsid w:val="77EF22D8"/>
    <w:rsid w:val="780F30C4"/>
    <w:rsid w:val="78204380"/>
    <w:rsid w:val="78384CBC"/>
    <w:rsid w:val="784258BF"/>
    <w:rsid w:val="7877469D"/>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B660299"/>
    <w:rsid w:val="7BC766A7"/>
    <w:rsid w:val="7C1C6AC4"/>
    <w:rsid w:val="7C2A4FF2"/>
    <w:rsid w:val="7C41564D"/>
    <w:rsid w:val="7C8E16C9"/>
    <w:rsid w:val="7CA10AF6"/>
    <w:rsid w:val="7CB561C0"/>
    <w:rsid w:val="7CC269EF"/>
    <w:rsid w:val="7CCC277F"/>
    <w:rsid w:val="7CE3033A"/>
    <w:rsid w:val="7D0A2590"/>
    <w:rsid w:val="7D550752"/>
    <w:rsid w:val="7D6A7A29"/>
    <w:rsid w:val="7DA0035E"/>
    <w:rsid w:val="7DC16877"/>
    <w:rsid w:val="7DCC5A45"/>
    <w:rsid w:val="7DD652E7"/>
    <w:rsid w:val="7E630B4F"/>
    <w:rsid w:val="7E7F1DC3"/>
    <w:rsid w:val="7E7F4EA4"/>
    <w:rsid w:val="7E8B6D0C"/>
    <w:rsid w:val="7E9A2799"/>
    <w:rsid w:val="7ED40FE0"/>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 w:type="character" w:customStyle="1" w:styleId="67">
    <w:name w:val="apple-converted-space"/>
    <w:qFormat/>
    <w:uiPriority w:val="0"/>
  </w:style>
  <w:style w:type="paragraph" w:customStyle="1" w:styleId="68">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9B5B53C8-48A5-44AD-B897-E90CB0B8E3EC}">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2022-04-25T09:22:53Z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